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Communication Law and Ethics Essay</w:t>
      </w: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Name</w:t>
      </w: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Institution</w:t>
      </w: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Date</w:t>
      </w: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lastRenderedPageBreak/>
        <w:t>Communication Law and Ethics Essay</w:t>
      </w:r>
    </w:p>
    <w:p w:rsidR="006E39C8" w:rsidRPr="006E39C8" w:rsidRDefault="006E39C8" w:rsidP="006E39C8">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Option C</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 xml:space="preserve">Media ethics is among the most interesting and controversial aspects in the context of communication law and ethics. Mass media is defined as the most accurate division of applied ethics that deals with certain ethical principles as well as standards of media, together with films, broadcast media,  theatre, print media, the arts, and the internet (Moore, Murray, Farrell, &amp; Youm, 2017). The field of media arts covers many varied and highly controversial topics stretching from war journalism to the most accurate journalism shield laws (Moore et al., 2017). </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 xml:space="preserve">According to Moore et al. (2017), media ethics extends a hand of concern to the in promoting as well as defending core values such as universal respect for life as well as the rule of law and legality.  In the contemporary world, media ethics has shared the implication that a lot of effort must be made to embrace the importance of journalism to every single individual, community, and the government as well (Moore et al., 2017).  With this mind, measures need to be extended on an ethical basis to show how media should make use of texts and pictures. This essay pays attention to the need for federal “shield” law that allows reporters to protect resources to whom they have promised autonomy, when it is most important to give reporter adequate protection, and when the government poses legitimate reasons for discovering source’s identity might. </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In my opinion, there should be a federal “shield” law that always allows reported to protect sources to whom they have promised anonymity. From a comprehensive point of view, the journalist makes an effort to meet the needs of the public by searching, filtering, and disseminating vital information (Moore et al., 2017). Also, confidential sources provide essential information to journalists as well as other writers upon the agreement that their identities will not be disclosed to get with the information they have provided. Source of confidential information feel comfortable supplying information based on the journalist’s privilege, which is the right of the journalist to refuse to disclose their sources as well as information in court (Moore et al., 2017). Adopting a federal shield law would suitably help to uphold the concept of confidentiality of sources as a constitutional right (Moore et al., 2017). It is worthy to note that reporters are frequently oppressed to provide information for legal proceedings, as well as to allow reporters to seek access to a reporter’s noted, unpublished information, as well as the identity of confidential sources.</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 xml:space="preserve">Lack of shield law in the entire nation will hamper the effectiveness of the work of reporters. In most cases, reported are found to be quite reluctant and disinterested in giving the identity of confidential information in such a situation for fear that it will dissuade sources from providing information in the future (Fargo, 2019).  It is worthy to note that disclosing confidential information reported by journalists might be quite unethical.  The breaches of confidentiality may pose chilling and harmful effects to journalists and hence compressing their ability to do their jobs (Fargo, 2019). Moreover, having journalists constantly subpoenaed potentially imposes a substantial burden on news organizations because it takes away from valuable reporting and editing time (Moore et al., 2017). In addition, many journalists feel an </w:t>
      </w:r>
      <w:r w:rsidRPr="006E39C8">
        <w:rPr>
          <w:rFonts w:ascii="Times New Roman" w:eastAsia="Times New Roman" w:hAnsi="Times New Roman" w:cs="Times New Roman"/>
          <w:sz w:val="24"/>
          <w:szCs w:val="24"/>
        </w:rPr>
        <w:lastRenderedPageBreak/>
        <w:t xml:space="preserve">obligation to protect their sources even if they are held in contempt of court and threatened with jail time (Moore et al., 2017). </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Although the federal shied laws are quite necessary for regards to communication law and ethics, a lot of attention must be deployed to the need for boundaries (Fargo, 2019). In some cases, it most important to grant reporters and their sources these protections since reporters can still be forced to reveal their sources. Reporters should be given these protections when there is a need to maintain the free flow of information to the public by providing conditions for the federally compelled disclosure of information by certain persons connected with the news media.  Federal shield laws should be called into action to ensure the safety of journalists (Fargo, 2019). Federal shield laws will suitably increase safe working conditions for journalists by creating legislation that fosters media freedoms, including guarantees of free access to information, protection of confidential sources, and decriminalizing journalistic activities.</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In some cases, the government should intervene with truly legitimate reasons for discovering sources’ identities (Moore et al., 2017). Arguably, the government should intervene for disclosure of the identity of the discovering sources when the identity of the resource is essential for the investigation or prosecution of a serious crime. For instance, when the person is accused of a criminal offense (Shannon, 2016). The government should also intervene when similar information leading to the same result cannot be obtained elsewhere, when the public interest in disclosure outweighs the harm to freedom of expression, and when there is need for disclosure for a full hearing (Moore et al., 2017).</w:t>
      </w:r>
    </w:p>
    <w:p w:rsidR="006E39C8" w:rsidRPr="006E39C8" w:rsidRDefault="006E39C8" w:rsidP="006E39C8">
      <w:pPr>
        <w:ind w:firstLine="720"/>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t>From my point of view, enacting federal shield law to all journalists that allow disclosure of anonymity of sources is essential, and it enables reporters to meet the public interests. The law would also give journalists the confidence to investigate and report accurate information as it gathered from the ideal source (Moore et al., 2017). The protection will also help journalists to help the government in protecting the nation’s boundaries against attacks (Shannon, 2016). However, in some cases, the weight of the information may outweigh the relevance of the disclosure of identity. Herein, juries should look at the relevancy of the information in question, whether there is a compelling interest in obtaining the identity, whether there are alternative sources for the same information, and if there is a need for keeping the promised confidentiality (Moore et al., 2017). Overall, there is a need to establish laws that offer broader exceptions for certain types of information, for instance, when the information is applicable to criminal defense cases.</w:t>
      </w:r>
    </w:p>
    <w:p w:rsidR="006E39C8" w:rsidRPr="006E39C8" w:rsidRDefault="006E39C8" w:rsidP="007359A0">
      <w:pPr>
        <w:jc w:val="center"/>
        <w:rPr>
          <w:rFonts w:ascii="Times New Roman" w:eastAsia="Times New Roman" w:hAnsi="Times New Roman" w:cs="Times New Roman"/>
          <w:sz w:val="24"/>
          <w:szCs w:val="24"/>
        </w:rPr>
      </w:pPr>
    </w:p>
    <w:p w:rsidR="006E39C8" w:rsidRPr="006E39C8" w:rsidRDefault="006E39C8" w:rsidP="007359A0">
      <w:pPr>
        <w:jc w:val="center"/>
        <w:rPr>
          <w:rFonts w:ascii="Times New Roman" w:eastAsia="Times New Roman" w:hAnsi="Times New Roman" w:cs="Times New Roman"/>
          <w:sz w:val="24"/>
          <w:szCs w:val="24"/>
        </w:rPr>
      </w:pPr>
    </w:p>
    <w:p w:rsidR="006E39C8" w:rsidRPr="006E39C8" w:rsidRDefault="006E39C8" w:rsidP="007359A0">
      <w:pPr>
        <w:jc w:val="center"/>
        <w:rPr>
          <w:rFonts w:ascii="Times New Roman" w:eastAsia="Times New Roman" w:hAnsi="Times New Roman" w:cs="Times New Roman"/>
          <w:sz w:val="24"/>
          <w:szCs w:val="24"/>
        </w:rPr>
      </w:pPr>
    </w:p>
    <w:p w:rsidR="006E39C8" w:rsidRPr="006E39C8" w:rsidRDefault="006E39C8" w:rsidP="007359A0">
      <w:pPr>
        <w:jc w:val="center"/>
        <w:rPr>
          <w:rFonts w:ascii="Times New Roman" w:eastAsia="Times New Roman" w:hAnsi="Times New Roman" w:cs="Times New Roman"/>
          <w:sz w:val="24"/>
          <w:szCs w:val="24"/>
        </w:rPr>
      </w:pPr>
    </w:p>
    <w:p w:rsidR="006E39C8" w:rsidRPr="006E39C8" w:rsidRDefault="006E39C8" w:rsidP="007359A0">
      <w:pPr>
        <w:jc w:val="center"/>
        <w:rPr>
          <w:rFonts w:ascii="Times New Roman" w:eastAsia="Times New Roman" w:hAnsi="Times New Roman" w:cs="Times New Roman"/>
          <w:sz w:val="24"/>
          <w:szCs w:val="24"/>
        </w:rPr>
      </w:pPr>
    </w:p>
    <w:p w:rsidR="006E39C8" w:rsidRPr="006E39C8" w:rsidRDefault="006E39C8" w:rsidP="007359A0">
      <w:pPr>
        <w:jc w:val="center"/>
        <w:rPr>
          <w:rFonts w:ascii="Times New Roman" w:eastAsia="Times New Roman" w:hAnsi="Times New Roman" w:cs="Times New Roman"/>
          <w:sz w:val="24"/>
          <w:szCs w:val="24"/>
        </w:rPr>
      </w:pPr>
    </w:p>
    <w:p w:rsidR="00321AAF" w:rsidRPr="006E39C8" w:rsidRDefault="00321AAF" w:rsidP="007359A0">
      <w:pPr>
        <w:jc w:val="center"/>
        <w:rPr>
          <w:rFonts w:ascii="Times New Roman" w:eastAsia="Times New Roman" w:hAnsi="Times New Roman" w:cs="Times New Roman"/>
          <w:sz w:val="24"/>
          <w:szCs w:val="24"/>
        </w:rPr>
      </w:pPr>
      <w:r w:rsidRPr="006E39C8">
        <w:rPr>
          <w:rFonts w:ascii="Times New Roman" w:eastAsia="Times New Roman" w:hAnsi="Times New Roman" w:cs="Times New Roman"/>
          <w:sz w:val="24"/>
          <w:szCs w:val="24"/>
        </w:rPr>
        <w:lastRenderedPageBreak/>
        <w:t>References</w:t>
      </w:r>
    </w:p>
    <w:p w:rsidR="007359A0" w:rsidRPr="006E39C8" w:rsidRDefault="007359A0" w:rsidP="007359A0">
      <w:pPr>
        <w:ind w:left="720" w:hanging="720"/>
        <w:rPr>
          <w:rFonts w:ascii="Times New Roman" w:hAnsi="Times New Roman" w:cs="Times New Roman"/>
          <w:sz w:val="24"/>
          <w:szCs w:val="24"/>
          <w:shd w:val="clear" w:color="auto" w:fill="FFFFFF"/>
        </w:rPr>
      </w:pPr>
      <w:r w:rsidRPr="006E39C8">
        <w:rPr>
          <w:rFonts w:ascii="Times New Roman" w:hAnsi="Times New Roman" w:cs="Times New Roman"/>
          <w:sz w:val="24"/>
          <w:szCs w:val="24"/>
          <w:shd w:val="clear" w:color="auto" w:fill="FFFFFF"/>
        </w:rPr>
        <w:t>Fargo, A. L. (2019). Protecting Journalists’ Sources without a Shield: Four Proposals. </w:t>
      </w:r>
      <w:r w:rsidRPr="006E39C8">
        <w:rPr>
          <w:rFonts w:ascii="Times New Roman" w:hAnsi="Times New Roman" w:cs="Times New Roman"/>
          <w:i/>
          <w:iCs/>
          <w:sz w:val="24"/>
          <w:szCs w:val="24"/>
          <w:shd w:val="clear" w:color="auto" w:fill="FFFFFF"/>
        </w:rPr>
        <w:t>Communication Law and Policy</w:t>
      </w:r>
      <w:r w:rsidRPr="006E39C8">
        <w:rPr>
          <w:rFonts w:ascii="Times New Roman" w:hAnsi="Times New Roman" w:cs="Times New Roman"/>
          <w:sz w:val="24"/>
          <w:szCs w:val="24"/>
          <w:shd w:val="clear" w:color="auto" w:fill="FFFFFF"/>
        </w:rPr>
        <w:t>, </w:t>
      </w:r>
      <w:r w:rsidRPr="006E39C8">
        <w:rPr>
          <w:rFonts w:ascii="Times New Roman" w:hAnsi="Times New Roman" w:cs="Times New Roman"/>
          <w:i/>
          <w:iCs/>
          <w:sz w:val="24"/>
          <w:szCs w:val="24"/>
          <w:shd w:val="clear" w:color="auto" w:fill="FFFFFF"/>
        </w:rPr>
        <w:t>24</w:t>
      </w:r>
      <w:r w:rsidRPr="006E39C8">
        <w:rPr>
          <w:rFonts w:ascii="Times New Roman" w:hAnsi="Times New Roman" w:cs="Times New Roman"/>
          <w:sz w:val="24"/>
          <w:szCs w:val="24"/>
          <w:shd w:val="clear" w:color="auto" w:fill="FFFFFF"/>
        </w:rPr>
        <w:t>(2), 145-189.</w:t>
      </w:r>
    </w:p>
    <w:p w:rsidR="007359A0" w:rsidRPr="006E39C8" w:rsidRDefault="007359A0" w:rsidP="007359A0">
      <w:pPr>
        <w:ind w:left="720" w:hanging="720"/>
        <w:rPr>
          <w:rFonts w:ascii="Times New Roman" w:hAnsi="Times New Roman" w:cs="Times New Roman"/>
          <w:sz w:val="24"/>
          <w:szCs w:val="24"/>
          <w:shd w:val="clear" w:color="auto" w:fill="FFFFFF"/>
        </w:rPr>
      </w:pPr>
      <w:r w:rsidRPr="006E39C8">
        <w:rPr>
          <w:rFonts w:ascii="Times New Roman" w:hAnsi="Times New Roman" w:cs="Times New Roman"/>
          <w:sz w:val="24"/>
          <w:szCs w:val="24"/>
          <w:shd w:val="clear" w:color="auto" w:fill="FFFFFF"/>
        </w:rPr>
        <w:t>Fargo, A. L. (2019). Source Protection and Shield Laws. </w:t>
      </w:r>
      <w:r w:rsidRPr="006E39C8">
        <w:rPr>
          <w:rFonts w:ascii="Times New Roman" w:hAnsi="Times New Roman" w:cs="Times New Roman"/>
          <w:i/>
          <w:iCs/>
          <w:sz w:val="24"/>
          <w:szCs w:val="24"/>
          <w:shd w:val="clear" w:color="auto" w:fill="FFFFFF"/>
        </w:rPr>
        <w:t>The International Encyclopedia of Journalism Studies</w:t>
      </w:r>
      <w:r w:rsidRPr="006E39C8">
        <w:rPr>
          <w:rFonts w:ascii="Times New Roman" w:hAnsi="Times New Roman" w:cs="Times New Roman"/>
          <w:sz w:val="24"/>
          <w:szCs w:val="24"/>
          <w:shd w:val="clear" w:color="auto" w:fill="FFFFFF"/>
        </w:rPr>
        <w:t>, 1-7.</w:t>
      </w:r>
    </w:p>
    <w:p w:rsidR="007359A0" w:rsidRPr="006E39C8" w:rsidRDefault="007359A0" w:rsidP="007359A0">
      <w:pPr>
        <w:ind w:left="720" w:hanging="720"/>
        <w:rPr>
          <w:rFonts w:ascii="Times New Roman" w:hAnsi="Times New Roman" w:cs="Times New Roman"/>
          <w:sz w:val="24"/>
          <w:szCs w:val="24"/>
        </w:rPr>
      </w:pPr>
      <w:r w:rsidRPr="006E39C8">
        <w:rPr>
          <w:rFonts w:ascii="Times New Roman" w:hAnsi="Times New Roman" w:cs="Times New Roman"/>
          <w:sz w:val="24"/>
          <w:szCs w:val="24"/>
        </w:rPr>
        <w:t>Moore, R., Murray, M., Farrell, M., &amp; Youm, K. H. (2017). Media Law and Ethics. Routledge.</w:t>
      </w:r>
    </w:p>
    <w:p w:rsidR="007359A0" w:rsidRPr="006E39C8" w:rsidRDefault="007359A0" w:rsidP="007359A0">
      <w:pPr>
        <w:ind w:left="720" w:hanging="720"/>
        <w:rPr>
          <w:rFonts w:ascii="Times New Roman" w:eastAsia="Times New Roman" w:hAnsi="Times New Roman" w:cs="Times New Roman"/>
          <w:sz w:val="24"/>
          <w:szCs w:val="24"/>
        </w:rPr>
      </w:pPr>
      <w:r w:rsidRPr="006E39C8">
        <w:rPr>
          <w:rFonts w:ascii="Times New Roman" w:hAnsi="Times New Roman" w:cs="Times New Roman"/>
          <w:sz w:val="24"/>
          <w:szCs w:val="24"/>
          <w:shd w:val="clear" w:color="auto" w:fill="FFFFFF"/>
        </w:rPr>
        <w:t>Shannon, B. (2016). State v. Colburn: Montana’s Rape Shield Law and the Rights of an Accused under the Montana Const</w:t>
      </w:r>
      <w:bookmarkStart w:id="0" w:name="_GoBack"/>
      <w:bookmarkEnd w:id="0"/>
      <w:r w:rsidRPr="006E39C8">
        <w:rPr>
          <w:rFonts w:ascii="Times New Roman" w:hAnsi="Times New Roman" w:cs="Times New Roman"/>
          <w:sz w:val="24"/>
          <w:szCs w:val="24"/>
          <w:shd w:val="clear" w:color="auto" w:fill="FFFFFF"/>
        </w:rPr>
        <w:t>itution. </w:t>
      </w:r>
      <w:r w:rsidRPr="006E39C8">
        <w:rPr>
          <w:rFonts w:ascii="Times New Roman" w:hAnsi="Times New Roman" w:cs="Times New Roman"/>
          <w:i/>
          <w:iCs/>
          <w:sz w:val="24"/>
          <w:szCs w:val="24"/>
          <w:shd w:val="clear" w:color="auto" w:fill="FFFFFF"/>
        </w:rPr>
        <w:t>Montana Law Review Online</w:t>
      </w:r>
      <w:r w:rsidRPr="006E39C8">
        <w:rPr>
          <w:rFonts w:ascii="Times New Roman" w:hAnsi="Times New Roman" w:cs="Times New Roman"/>
          <w:sz w:val="24"/>
          <w:szCs w:val="24"/>
          <w:shd w:val="clear" w:color="auto" w:fill="FFFFFF"/>
        </w:rPr>
        <w:t>, </w:t>
      </w:r>
      <w:r w:rsidRPr="006E39C8">
        <w:rPr>
          <w:rFonts w:ascii="Times New Roman" w:hAnsi="Times New Roman" w:cs="Times New Roman"/>
          <w:i/>
          <w:iCs/>
          <w:sz w:val="24"/>
          <w:szCs w:val="24"/>
          <w:shd w:val="clear" w:color="auto" w:fill="FFFFFF"/>
        </w:rPr>
        <w:t>77</w:t>
      </w:r>
      <w:r w:rsidRPr="006E39C8">
        <w:rPr>
          <w:rFonts w:ascii="Times New Roman" w:hAnsi="Times New Roman" w:cs="Times New Roman"/>
          <w:sz w:val="24"/>
          <w:szCs w:val="24"/>
          <w:shd w:val="clear" w:color="auto" w:fill="FFFFFF"/>
        </w:rPr>
        <w:t>(1), 13.</w:t>
      </w:r>
    </w:p>
    <w:sectPr w:rsidR="007359A0" w:rsidRPr="006E39C8" w:rsidSect="006E39C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75888" w:rsidRDefault="00375888" w:rsidP="006E39C8">
      <w:pPr>
        <w:spacing w:after="0" w:line="240" w:lineRule="auto"/>
      </w:pPr>
      <w:r>
        <w:separator/>
      </w:r>
    </w:p>
  </w:endnote>
  <w:endnote w:type="continuationSeparator" w:id="1">
    <w:p w:rsidR="00375888" w:rsidRDefault="00375888" w:rsidP="006E39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75888" w:rsidRDefault="00375888" w:rsidP="006E39C8">
      <w:pPr>
        <w:spacing w:after="0" w:line="240" w:lineRule="auto"/>
      </w:pPr>
      <w:r>
        <w:separator/>
      </w:r>
    </w:p>
  </w:footnote>
  <w:footnote w:type="continuationSeparator" w:id="1">
    <w:p w:rsidR="00375888" w:rsidRDefault="00375888" w:rsidP="006E39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C8" w:rsidRPr="006E39C8" w:rsidRDefault="006E39C8">
    <w:pPr>
      <w:pStyle w:val="Header"/>
      <w:rPr>
        <w:rFonts w:ascii="Times New Roman" w:hAnsi="Times New Roman" w:cs="Times New Roman"/>
        <w:sz w:val="24"/>
        <w:szCs w:val="24"/>
      </w:rPr>
    </w:pPr>
    <w:r w:rsidRPr="006E39C8">
      <w:rPr>
        <w:rFonts w:ascii="Times New Roman" w:eastAsia="Times New Roman" w:hAnsi="Times New Roman" w:cs="Times New Roman"/>
        <w:color w:val="222222"/>
        <w:sz w:val="24"/>
        <w:szCs w:val="24"/>
      </w:rPr>
      <w:t>COMMUNICATION LAW AND ETHICS ESSAY</w:t>
    </w:r>
    <w:r w:rsidRPr="006E39C8">
      <w:rPr>
        <w:rFonts w:ascii="Times New Roman" w:hAnsi="Times New Roman" w:cs="Times New Roman"/>
        <w:sz w:val="24"/>
        <w:szCs w:val="24"/>
      </w:rPr>
      <w:tab/>
    </w:r>
    <w:sdt>
      <w:sdtPr>
        <w:rPr>
          <w:rFonts w:ascii="Times New Roman" w:hAnsi="Times New Roman" w:cs="Times New Roman"/>
          <w:sz w:val="24"/>
          <w:szCs w:val="24"/>
        </w:rPr>
        <w:id w:val="-1691058952"/>
        <w:docPartObj>
          <w:docPartGallery w:val="Page Numbers (Top of Page)"/>
          <w:docPartUnique/>
        </w:docPartObj>
      </w:sdtPr>
      <w:sdtEndPr>
        <w:rPr>
          <w:noProof/>
        </w:rPr>
      </w:sdtEndPr>
      <w:sdtContent>
        <w:r w:rsidR="00F2350A" w:rsidRPr="006E39C8">
          <w:rPr>
            <w:rFonts w:ascii="Times New Roman" w:hAnsi="Times New Roman" w:cs="Times New Roman"/>
            <w:sz w:val="24"/>
            <w:szCs w:val="24"/>
          </w:rPr>
          <w:fldChar w:fldCharType="begin"/>
        </w:r>
        <w:r w:rsidRPr="006E39C8">
          <w:rPr>
            <w:rFonts w:ascii="Times New Roman" w:hAnsi="Times New Roman" w:cs="Times New Roman"/>
            <w:sz w:val="24"/>
            <w:szCs w:val="24"/>
          </w:rPr>
          <w:instrText xml:space="preserve"> PAGE   \* MERGEFORMAT </w:instrText>
        </w:r>
        <w:r w:rsidR="00F2350A" w:rsidRPr="006E39C8">
          <w:rPr>
            <w:rFonts w:ascii="Times New Roman" w:hAnsi="Times New Roman" w:cs="Times New Roman"/>
            <w:sz w:val="24"/>
            <w:szCs w:val="24"/>
          </w:rPr>
          <w:fldChar w:fldCharType="separate"/>
        </w:r>
        <w:r w:rsidR="00852383">
          <w:rPr>
            <w:rFonts w:ascii="Times New Roman" w:hAnsi="Times New Roman" w:cs="Times New Roman"/>
            <w:noProof/>
            <w:sz w:val="24"/>
            <w:szCs w:val="24"/>
          </w:rPr>
          <w:t>4</w:t>
        </w:r>
        <w:r w:rsidR="00F2350A" w:rsidRPr="006E39C8">
          <w:rPr>
            <w:rFonts w:ascii="Times New Roman" w:hAnsi="Times New Roman" w:cs="Times New Roman"/>
            <w:noProof/>
            <w:sz w:val="24"/>
            <w:szCs w:val="24"/>
          </w:rPr>
          <w:fldChar w:fldCharType="end"/>
        </w:r>
      </w:sdtContent>
    </w:sdt>
  </w:p>
  <w:p w:rsidR="006E39C8" w:rsidRPr="006E39C8" w:rsidRDefault="006E39C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39C8" w:rsidRPr="006E39C8" w:rsidRDefault="006E39C8" w:rsidP="006E39C8">
    <w:pPr>
      <w:rPr>
        <w:rFonts w:ascii="Times New Roman" w:hAnsi="Times New Roman" w:cs="Times New Roman"/>
        <w:sz w:val="24"/>
        <w:szCs w:val="24"/>
      </w:rPr>
    </w:pPr>
    <w:r w:rsidRPr="006E39C8">
      <w:rPr>
        <w:rFonts w:ascii="Times New Roman" w:hAnsi="Times New Roman" w:cs="Times New Roman"/>
        <w:sz w:val="24"/>
        <w:szCs w:val="24"/>
      </w:rPr>
      <w:t xml:space="preserve">Running head: </w:t>
    </w:r>
    <w:r w:rsidRPr="006E39C8">
      <w:rPr>
        <w:rFonts w:ascii="Times New Roman" w:eastAsia="Times New Roman" w:hAnsi="Times New Roman" w:cs="Times New Roman"/>
        <w:color w:val="222222"/>
        <w:sz w:val="24"/>
        <w:szCs w:val="24"/>
      </w:rPr>
      <w:t>COMMUNICATION LAW AND ETHICS ESSAY</w:t>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r>
      <w:rPr>
        <w:rFonts w:ascii="Times New Roman" w:eastAsia="Times New Roman" w:hAnsi="Times New Roman" w:cs="Times New Roman"/>
        <w:color w:val="222222"/>
        <w:sz w:val="24"/>
        <w:szCs w:val="24"/>
      </w:rPr>
      <w:tab/>
    </w:r>
    <w:sdt>
      <w:sdtPr>
        <w:rPr>
          <w:rFonts w:ascii="Times New Roman" w:hAnsi="Times New Roman" w:cs="Times New Roman"/>
          <w:sz w:val="24"/>
          <w:szCs w:val="24"/>
        </w:rPr>
        <w:id w:val="1583259322"/>
        <w:docPartObj>
          <w:docPartGallery w:val="Page Numbers (Top of Page)"/>
          <w:docPartUnique/>
        </w:docPartObj>
      </w:sdtPr>
      <w:sdtEndPr>
        <w:rPr>
          <w:noProof/>
        </w:rPr>
      </w:sdtEndPr>
      <w:sdtContent>
        <w:r w:rsidR="00F2350A" w:rsidRPr="006E39C8">
          <w:rPr>
            <w:rFonts w:ascii="Times New Roman" w:hAnsi="Times New Roman" w:cs="Times New Roman"/>
            <w:sz w:val="24"/>
            <w:szCs w:val="24"/>
          </w:rPr>
          <w:fldChar w:fldCharType="begin"/>
        </w:r>
        <w:r w:rsidRPr="006E39C8">
          <w:rPr>
            <w:rFonts w:ascii="Times New Roman" w:hAnsi="Times New Roman" w:cs="Times New Roman"/>
            <w:sz w:val="24"/>
            <w:szCs w:val="24"/>
          </w:rPr>
          <w:instrText xml:space="preserve"> PAGE   \* MERGEFORMAT </w:instrText>
        </w:r>
        <w:r w:rsidR="00F2350A" w:rsidRPr="006E39C8">
          <w:rPr>
            <w:rFonts w:ascii="Times New Roman" w:hAnsi="Times New Roman" w:cs="Times New Roman"/>
            <w:sz w:val="24"/>
            <w:szCs w:val="24"/>
          </w:rPr>
          <w:fldChar w:fldCharType="separate"/>
        </w:r>
        <w:r w:rsidR="00852383">
          <w:rPr>
            <w:rFonts w:ascii="Times New Roman" w:hAnsi="Times New Roman" w:cs="Times New Roman"/>
            <w:noProof/>
            <w:sz w:val="24"/>
            <w:szCs w:val="24"/>
          </w:rPr>
          <w:t>1</w:t>
        </w:r>
        <w:r w:rsidR="00F2350A" w:rsidRPr="006E39C8">
          <w:rPr>
            <w:rFonts w:ascii="Times New Roman" w:hAnsi="Times New Roman" w:cs="Times New Roman"/>
            <w:noProof/>
            <w:sz w:val="24"/>
            <w:szCs w:val="24"/>
          </w:rPr>
          <w:fldChar w:fldCharType="end"/>
        </w:r>
      </w:sdtContent>
    </w:sdt>
  </w:p>
  <w:p w:rsidR="006E39C8" w:rsidRPr="006E39C8" w:rsidRDefault="006E39C8">
    <w:pPr>
      <w:pStyle w:val="Header"/>
      <w:rPr>
        <w:rFonts w:ascii="Times New Roman" w:hAnsi="Times New Roman" w:cs="Times New Roman"/>
        <w:sz w:val="24"/>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D23E98"/>
    <w:multiLevelType w:val="multilevel"/>
    <w:tmpl w:val="08F8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D5F8B"/>
    <w:rsid w:val="000C5FF5"/>
    <w:rsid w:val="001A27EA"/>
    <w:rsid w:val="001E410A"/>
    <w:rsid w:val="00201310"/>
    <w:rsid w:val="002025A8"/>
    <w:rsid w:val="0021733D"/>
    <w:rsid w:val="00321AAF"/>
    <w:rsid w:val="00375888"/>
    <w:rsid w:val="006201B3"/>
    <w:rsid w:val="006E39C8"/>
    <w:rsid w:val="00730FCC"/>
    <w:rsid w:val="007359A0"/>
    <w:rsid w:val="007630BF"/>
    <w:rsid w:val="00812318"/>
    <w:rsid w:val="00816A90"/>
    <w:rsid w:val="00852383"/>
    <w:rsid w:val="008D5F8B"/>
    <w:rsid w:val="008E5637"/>
    <w:rsid w:val="00933C03"/>
    <w:rsid w:val="00A56EB6"/>
    <w:rsid w:val="00AD33D4"/>
    <w:rsid w:val="00CA4341"/>
    <w:rsid w:val="00CE2E08"/>
    <w:rsid w:val="00D43034"/>
    <w:rsid w:val="00D4326A"/>
    <w:rsid w:val="00F2350A"/>
    <w:rsid w:val="00FD660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50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01310"/>
    <w:rPr>
      <w:color w:val="0000FF"/>
      <w:u w:val="single"/>
    </w:rPr>
  </w:style>
  <w:style w:type="paragraph" w:styleId="Header">
    <w:name w:val="header"/>
    <w:basedOn w:val="Normal"/>
    <w:link w:val="HeaderChar"/>
    <w:uiPriority w:val="99"/>
    <w:unhideWhenUsed/>
    <w:rsid w:val="006E39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39C8"/>
  </w:style>
  <w:style w:type="paragraph" w:styleId="Footer">
    <w:name w:val="footer"/>
    <w:basedOn w:val="Normal"/>
    <w:link w:val="FooterChar"/>
    <w:uiPriority w:val="99"/>
    <w:unhideWhenUsed/>
    <w:rsid w:val="006E39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39C8"/>
  </w:style>
</w:styles>
</file>

<file path=word/webSettings.xml><?xml version="1.0" encoding="utf-8"?>
<w:webSettings xmlns:r="http://schemas.openxmlformats.org/officeDocument/2006/relationships" xmlns:w="http://schemas.openxmlformats.org/wordprocessingml/2006/main">
  <w:divs>
    <w:div w:id="2079477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6892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Ryan Peace</dc:creator>
  <cp:lastModifiedBy>ADM</cp:lastModifiedBy>
  <cp:revision>2</cp:revision>
  <dcterms:created xsi:type="dcterms:W3CDTF">2020-03-12T06:28:00Z</dcterms:created>
  <dcterms:modified xsi:type="dcterms:W3CDTF">2020-03-12T06:28:00Z</dcterms:modified>
</cp:coreProperties>
</file>